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1D1372" w:rsidRDefault="001D1372" w:rsidP="009B4E45">
      <w:pPr>
        <w:jc w:val="both"/>
        <w:outlineLvl w:val="0"/>
        <w:rPr>
          <w:rFonts w:ascii="Calibri" w:eastAsia="Calibri" w:hAnsi="Calibri" w:cs="Arial"/>
          <w:b/>
          <w:sz w:val="28"/>
          <w:szCs w:val="28"/>
          <w:lang w:eastAsia="en-US"/>
        </w:rPr>
      </w:pPr>
    </w:p>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2C5B15">
        <w:rPr>
          <w:rFonts w:ascii="Calibri" w:eastAsia="Calibri" w:hAnsi="Calibri" w:cs="Arial"/>
          <w:b/>
          <w:sz w:val="28"/>
          <w:szCs w:val="28"/>
          <w:lang w:eastAsia="en-US"/>
        </w:rPr>
        <w:t>pro část 2</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F16700" w:rsidRDefault="00DF2478" w:rsidP="00F42F2C">
      <w:pPr>
        <w:shd w:val="clear" w:color="auto" w:fill="FFD966" w:themeFill="accent4" w:themeFillTint="99"/>
        <w:jc w:val="both"/>
        <w:rPr>
          <w:rFonts w:ascii="Calibri" w:hAnsi="Calibri" w:cs="Arial"/>
          <w:b/>
          <w:sz w:val="32"/>
          <w:szCs w:val="32"/>
        </w:rPr>
      </w:pPr>
      <w:r>
        <w:rPr>
          <w:rFonts w:ascii="Calibri" w:hAnsi="Calibri" w:cs="Arial"/>
          <w:b/>
          <w:sz w:val="32"/>
          <w:szCs w:val="32"/>
        </w:rPr>
        <w:t>Anesteziologick</w:t>
      </w:r>
      <w:r w:rsidR="002C5B15">
        <w:rPr>
          <w:rFonts w:ascii="Calibri" w:hAnsi="Calibri" w:cs="Arial"/>
          <w:b/>
          <w:sz w:val="32"/>
          <w:szCs w:val="32"/>
        </w:rPr>
        <w:t>é</w:t>
      </w:r>
      <w:r>
        <w:rPr>
          <w:rFonts w:ascii="Calibri" w:hAnsi="Calibri" w:cs="Arial"/>
          <w:b/>
          <w:sz w:val="32"/>
          <w:szCs w:val="32"/>
        </w:rPr>
        <w:t xml:space="preserve"> přístroj</w:t>
      </w:r>
      <w:r w:rsidR="002C5B15">
        <w:rPr>
          <w:rFonts w:ascii="Calibri" w:hAnsi="Calibri" w:cs="Arial"/>
          <w:b/>
          <w:sz w:val="32"/>
          <w:szCs w:val="32"/>
        </w:rPr>
        <w:t>e – část 2</w:t>
      </w:r>
      <w:r>
        <w:rPr>
          <w:rFonts w:ascii="Calibri" w:hAnsi="Calibri" w:cs="Arial"/>
          <w:b/>
          <w:sz w:val="32"/>
          <w:szCs w:val="32"/>
        </w:rPr>
        <w:t xml:space="preserve"> </w:t>
      </w:r>
    </w:p>
    <w:p w:rsidR="00393D63" w:rsidRPr="00393D63" w:rsidRDefault="00393D63" w:rsidP="002B39F1">
      <w:pPr>
        <w:jc w:val="both"/>
        <w:rPr>
          <w:rFonts w:asciiTheme="minorHAnsi" w:hAnsiTheme="minorHAnsi" w:cs="Arial"/>
          <w:b/>
          <w:bCs/>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2B39F1" w:rsidRPr="00C52FD4" w:rsidRDefault="002C5B15" w:rsidP="00F42F2C">
      <w:pPr>
        <w:jc w:val="both"/>
        <w:rPr>
          <w:rFonts w:ascii="Calibri" w:hAnsi="Calibri" w:cs="Arial"/>
          <w:sz w:val="22"/>
          <w:szCs w:val="22"/>
        </w:rPr>
      </w:pPr>
      <w:r w:rsidRPr="008B377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8E1D92" w:rsidRDefault="008E1D92" w:rsidP="00602A33">
      <w:pPr>
        <w:suppressAutoHyphens/>
        <w:spacing w:after="160" w:line="276" w:lineRule="auto"/>
        <w:contextualSpacing/>
        <w:rPr>
          <w:rFonts w:ascii="Calibri" w:hAnsi="Calibri" w:cs="Arial"/>
          <w:sz w:val="22"/>
          <w:szCs w:val="22"/>
        </w:rPr>
      </w:pPr>
    </w:p>
    <w:p w:rsidR="00602A33" w:rsidRDefault="002C5B15"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rsidR="00654188" w:rsidRPr="00654188" w:rsidRDefault="00654188" w:rsidP="00654188">
      <w:pPr>
        <w:rPr>
          <w:lang w:eastAsia="en-US"/>
        </w:rPr>
      </w:pPr>
    </w:p>
    <w:p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rsidTr="006D6D0C">
        <w:trPr>
          <w:trHeight w:val="387"/>
          <w:tblHeader/>
        </w:trPr>
        <w:tc>
          <w:tcPr>
            <w:tcW w:w="3969" w:type="dxa"/>
            <w:shd w:val="clear" w:color="auto" w:fill="BDD6EE" w:themeFill="accent1" w:themeFillTint="66"/>
            <w:vAlign w:val="center"/>
          </w:tcPr>
          <w:p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rsidR="00E54A3E" w:rsidRPr="00393D63" w:rsidRDefault="00DF2478"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Anesteziologický přístroj pro </w:t>
            </w:r>
            <w:r w:rsidR="009028D4">
              <w:rPr>
                <w:rFonts w:asciiTheme="minorHAnsi" w:hAnsiTheme="minorHAnsi"/>
                <w:b/>
                <w:bCs/>
                <w:sz w:val="28"/>
                <w:szCs w:val="28"/>
              </w:rPr>
              <w:t>ARO Litomyšlské</w:t>
            </w:r>
            <w:r w:rsidR="009477AF">
              <w:rPr>
                <w:rFonts w:asciiTheme="minorHAnsi" w:hAnsiTheme="minorHAnsi"/>
                <w:b/>
                <w:bCs/>
                <w:sz w:val="28"/>
                <w:szCs w:val="28"/>
              </w:rPr>
              <w:t xml:space="preserve"> nemocnice </w:t>
            </w:r>
          </w:p>
        </w:tc>
      </w:tr>
      <w:tr w:rsidR="00E54A3E" w:rsidRPr="00654188" w:rsidTr="006D6D0C">
        <w:trPr>
          <w:tblHeader/>
        </w:trPr>
        <w:tc>
          <w:tcPr>
            <w:tcW w:w="3969" w:type="dxa"/>
            <w:shd w:val="clear" w:color="auto" w:fill="F7CAAC" w:themeFill="accent2" w:themeFillTint="66"/>
          </w:tcPr>
          <w:p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6D6D0C" w:rsidRPr="00EE70B8" w:rsidTr="001A3E26">
        <w:tc>
          <w:tcPr>
            <w:tcW w:w="3969" w:type="dxa"/>
          </w:tcPr>
          <w:p w:rsidR="006D6D0C" w:rsidRPr="006D6D0C" w:rsidRDefault="006D6D0C" w:rsidP="004D4608">
            <w:pPr>
              <w:pStyle w:val="Nadpis2"/>
              <w:outlineLvl w:val="1"/>
              <w:rPr>
                <w:rFonts w:asciiTheme="minorHAnsi" w:hAnsiTheme="minorHAnsi"/>
                <w:b w:val="0"/>
                <w:bCs w:val="0"/>
                <w:color w:val="000000" w:themeColor="text1"/>
                <w:sz w:val="26"/>
                <w:szCs w:val="26"/>
              </w:rPr>
            </w:pPr>
            <w:r w:rsidRPr="006D6D0C">
              <w:rPr>
                <w:rFonts w:asciiTheme="minorHAnsi" w:hAnsiTheme="minorHAnsi"/>
                <w:b w:val="0"/>
                <w:bCs w:val="0"/>
                <w:color w:val="000000" w:themeColor="text1"/>
                <w:sz w:val="26"/>
                <w:szCs w:val="26"/>
              </w:rPr>
              <w:t xml:space="preserve">Anesteziologický přístroj </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 xml:space="preserve">Anesteziologický přístroj pro pacienty všech věkových skupin – novorozenci (od 5 ml měřitelného dechového objemu), děti a dospělí. </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 xml:space="preserve">Požadované ventilační </w:t>
            </w:r>
            <w:proofErr w:type="gramStart"/>
            <w:r w:rsidRPr="003D1192">
              <w:t>režimy - VC</w:t>
            </w:r>
            <w:proofErr w:type="gramEnd"/>
            <w:r w:rsidRPr="003D1192">
              <w:t>, PC, SIMV+PS, PSV, PRVC, MAN/SPONT.</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Elektronicky řízený ventilátor s elektrickým pohonem, nezávislý na rozvod plynů.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 xml:space="preserve">Nastavení PEEP min. </w:t>
            </w:r>
            <w:proofErr w:type="gramStart"/>
            <w:r w:rsidRPr="003D1192">
              <w:t>2 – 35</w:t>
            </w:r>
            <w:proofErr w:type="gramEnd"/>
            <w:r w:rsidRPr="003D1192">
              <w:t xml:space="preserve"> cm H2O.</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 xml:space="preserve">Inspirační tlaky min. </w:t>
            </w:r>
            <w:proofErr w:type="gramStart"/>
            <w:r w:rsidRPr="003D1192">
              <w:t>5 - 80</w:t>
            </w:r>
            <w:proofErr w:type="gramEnd"/>
            <w:r w:rsidRPr="003D1192">
              <w:t xml:space="preserve"> cm H2O.</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 xml:space="preserve">Dechový objem min. </w:t>
            </w:r>
            <w:proofErr w:type="gramStart"/>
            <w:r w:rsidRPr="003D1192">
              <w:t>20 – 1500</w:t>
            </w:r>
            <w:proofErr w:type="gramEnd"/>
            <w:r w:rsidRPr="003D1192">
              <w:t xml:space="preserve"> ml.</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lastRenderedPageBreak/>
              <w:t xml:space="preserve">Nastavitelná frekvence min. </w:t>
            </w:r>
            <w:proofErr w:type="gramStart"/>
            <w:r w:rsidRPr="003D1192">
              <w:t>5 – 100</w:t>
            </w:r>
            <w:proofErr w:type="gramEnd"/>
            <w:r w:rsidRPr="003D1192">
              <w:t xml:space="preserve"> minut.</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 xml:space="preserve">FiO2 v rozsahu min. </w:t>
            </w:r>
            <w:proofErr w:type="gramStart"/>
            <w:r w:rsidRPr="003D1192">
              <w:t>21 – 100</w:t>
            </w:r>
            <w:proofErr w:type="gramEnd"/>
            <w:r w:rsidRPr="003D1192">
              <w:t xml:space="preserve"> %.</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proofErr w:type="spellStart"/>
            <w:r w:rsidRPr="003D1192">
              <w:t>Flow</w:t>
            </w:r>
            <w:proofErr w:type="spellEnd"/>
            <w:r w:rsidRPr="003D1192">
              <w:t xml:space="preserve"> </w:t>
            </w:r>
            <w:proofErr w:type="spellStart"/>
            <w:r w:rsidRPr="003D1192">
              <w:t>trigger</w:t>
            </w:r>
            <w:proofErr w:type="spellEnd"/>
            <w:r w:rsidRPr="003D1192">
              <w:t xml:space="preserve"> min. 0,5 – 15 l /min.</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Plně automatický elektronický směšovač čerstvé směsi s hypoxickou ochranou, nastavení FiO2 a celkového průtoku.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Nastaven průtoku čerstvé směsi min. 0,2 – 15 l /min.</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 xml:space="preserve">Možné použití </w:t>
            </w:r>
            <w:proofErr w:type="spellStart"/>
            <w:r w:rsidRPr="003D1192">
              <w:t>Desflurane</w:t>
            </w:r>
            <w:proofErr w:type="spellEnd"/>
            <w:r w:rsidRPr="003D1192">
              <w:t xml:space="preserve">, </w:t>
            </w:r>
            <w:proofErr w:type="spellStart"/>
            <w:r w:rsidRPr="003D1192">
              <w:t>Sevoflurane</w:t>
            </w:r>
            <w:proofErr w:type="spellEnd"/>
            <w:r w:rsidRPr="003D1192">
              <w:t xml:space="preserve">, </w:t>
            </w:r>
            <w:proofErr w:type="spellStart"/>
            <w:r w:rsidRPr="003D1192">
              <w:t>Isoflurane</w:t>
            </w:r>
            <w:proofErr w:type="spellEnd"/>
            <w:r w:rsidRPr="003D1192">
              <w:t>.</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Pozice pro umístění alespoň dvou odpařovačů.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Zobrazení a záznam nastavení odpařovače na displeji ventilátoru, zobrazení typu odpařovače (anestetikum) a signalizace nízké hladiny naplnění, odpařovač zahrnut do testu přístroje.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 xml:space="preserve">Kompletní plynová analýza (inspiračně i exspirační) - </w:t>
            </w:r>
            <w:proofErr w:type="spellStart"/>
            <w:r w:rsidRPr="003D1192">
              <w:t>Iso</w:t>
            </w:r>
            <w:proofErr w:type="spellEnd"/>
            <w:r w:rsidRPr="003D1192">
              <w:t xml:space="preserve">, </w:t>
            </w:r>
            <w:proofErr w:type="spellStart"/>
            <w:r w:rsidRPr="003D1192">
              <w:t>Sevo</w:t>
            </w:r>
            <w:proofErr w:type="spellEnd"/>
            <w:r w:rsidRPr="003D1192">
              <w:t>, Des, N2O, O2, CO2.</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 xml:space="preserve">Kalkulace MAC vč. </w:t>
            </w:r>
            <w:proofErr w:type="spellStart"/>
            <w:r w:rsidRPr="003D1192">
              <w:t>MACage</w:t>
            </w:r>
            <w:proofErr w:type="spellEnd"/>
            <w:r w:rsidRPr="003D1192">
              <w:t xml:space="preserve"> a </w:t>
            </w:r>
            <w:proofErr w:type="spellStart"/>
            <w:r w:rsidRPr="003D1192">
              <w:t>xMAC</w:t>
            </w:r>
            <w:proofErr w:type="spellEnd"/>
            <w:r w:rsidRPr="003D1192">
              <w:t>.</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Automatická identifikace použitého anestetika.</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Automatický návrat analyzovaného vzorku zpět do okruhu.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Ukazatel využití čerstvé směsi vč. záznamu aktuální a celkové spotřeby, spotřeba anestetika</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Režim podporující řízení anestezie na základě hodnot koncentrace O2 a et koncentrace aplikovaného anestetika.</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Dotyková ovládací obrazovka min. 15“.</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lastRenderedPageBreak/>
              <w:t>Integrovaná odsávačka včetně příslušenství.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Akustické a optické alarmy chybových stavů.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Kompenzace úniků a poddajnosti okruhu.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Zobrazení plicní mechaniky, smyčkou P-V s možností detailní analýzy a (vč. možnosti uložení referenční).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Analýza trendů.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Aktivní ohřev ventilačního systému.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Systém odtahu přebytečných plynů vč. hadice.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Ovládání a alarmy v českém jazyce.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proofErr w:type="spellStart"/>
            <w:r w:rsidRPr="003D1192">
              <w:t>Standby</w:t>
            </w:r>
            <w:proofErr w:type="spellEnd"/>
            <w:r w:rsidRPr="003D1192">
              <w:t xml:space="preserve"> funkce, možnost ukládat kopii obrazovky na USB.</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Připojení na stávající rozvod medicinálních plynů.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Záložní napájecí zdroj min. 60 min.</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4"/>
              </w:numPr>
              <w:jc w:val="both"/>
            </w:pPr>
            <w:r w:rsidRPr="003D1192">
              <w:t>Kompletní příslušenství pro provoz.</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6D6D0C" w:rsidRDefault="006D6D0C" w:rsidP="006D6D0C">
            <w:pPr>
              <w:rPr>
                <w:rFonts w:asciiTheme="minorHAnsi" w:hAnsiTheme="minorHAnsi"/>
                <w:sz w:val="26"/>
                <w:szCs w:val="26"/>
              </w:rPr>
            </w:pPr>
            <w:r w:rsidRPr="006D6D0C">
              <w:rPr>
                <w:rFonts w:asciiTheme="minorHAnsi" w:hAnsiTheme="minorHAnsi"/>
                <w:sz w:val="26"/>
                <w:szCs w:val="26"/>
              </w:rPr>
              <w:t>Monitor vitálních funkcí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 xml:space="preserve">Modulární barevný, min. </w:t>
            </w:r>
            <w:proofErr w:type="gramStart"/>
            <w:r w:rsidRPr="003D1192">
              <w:t>10-kanálový</w:t>
            </w:r>
            <w:proofErr w:type="gramEnd"/>
            <w:r w:rsidRPr="003D1192">
              <w:t xml:space="preserve"> monitor s možností rozšíření až na 16 kanálů.</w:t>
            </w:r>
            <w:r w:rsidRPr="003D1192">
              <w:tab/>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Širokoúhlá LCD dotyková obrazovka min. 17",</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Alfanumerické zobrazení měřených parametrů.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 xml:space="preserve">Transportní modul s dotykovým barevným displejem o velikosti min. 6“, automatická rotace obrazu o 180 </w:t>
            </w:r>
            <w:r w:rsidRPr="003D1192">
              <w:rPr>
                <w:rFonts w:cstheme="minorHAnsi"/>
              </w:rPr>
              <w:t xml:space="preserve">°, </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Vestavěné baterie transportního modulu na min. 3 hod. provozu (automatické dobíjení ze sítě 230 V /50 Hz).</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lastRenderedPageBreak/>
              <w:t>Využití jako lůžkový monitor nebo transportní monitor pro převoz pacienta z operačního sálu na oddělení (nízká hmotnost transportního modulu – max. 1 000 g).</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 xml:space="preserve">Transportní modul musí umožňovat uchovat veškerá monitorovaná data, alarmové události a trendy během transportu, které se po </w:t>
            </w:r>
            <w:proofErr w:type="spellStart"/>
            <w:r w:rsidRPr="003D1192">
              <w:t>zadokování</w:t>
            </w:r>
            <w:proofErr w:type="spellEnd"/>
            <w:r w:rsidRPr="003D1192">
              <w:t xml:space="preserve"> u lůžka přenesou a </w:t>
            </w:r>
            <w:proofErr w:type="spellStart"/>
            <w:r w:rsidRPr="003D1192">
              <w:t>sesynchronizují</w:t>
            </w:r>
            <w:proofErr w:type="spellEnd"/>
            <w:r w:rsidRPr="003D1192">
              <w:t xml:space="preserve"> s monitorovacím systémem.</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 xml:space="preserve">Dokovací stanice musí umožňovat </w:t>
            </w:r>
            <w:proofErr w:type="spellStart"/>
            <w:r w:rsidRPr="003D1192">
              <w:t>zadokování</w:t>
            </w:r>
            <w:proofErr w:type="spellEnd"/>
            <w:r w:rsidRPr="003D1192">
              <w:t xml:space="preserve"> transportního monitoru otočeného i o 180 </w:t>
            </w:r>
            <w:r w:rsidRPr="003D1192">
              <w:rPr>
                <w:rFonts w:cstheme="minorHAnsi"/>
              </w:rPr>
              <w:t>°</w:t>
            </w:r>
            <w:r w:rsidRPr="003D1192">
              <w:t xml:space="preserve"> (včetně automatické rotace obrazovky) vzhledem k variabilnímu umístění u lůžka.</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Použití pro všechny věkové kategorie (bez dalšího rozšíření softwaru) s automatickým nastavením algoritmů podle zvolené kategorie pacienta.</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Obousměrné komunikace o ovládání mezi transportním monitorem (modulem) a hlavní monitorem.</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Plnohodnotné ovládání dotykovým displejem transportního modulu nebo velkým displejem dokovacího systému.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rPr>
                <w:rFonts w:cstheme="minorHAnsi"/>
              </w:rPr>
              <w:t>Měřené parametry:</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1"/>
                <w:numId w:val="25"/>
              </w:numPr>
              <w:jc w:val="both"/>
            </w:pPr>
            <w:r w:rsidRPr="003D1192">
              <w:t>EKG:</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 xml:space="preserve">3, 5, 6, </w:t>
            </w:r>
            <w:proofErr w:type="gramStart"/>
            <w:r w:rsidRPr="003D1192">
              <w:t>12-svodové</w:t>
            </w:r>
            <w:proofErr w:type="gramEnd"/>
            <w:r w:rsidRPr="003D1192">
              <w:t xml:space="preserve"> EKG,</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Možnost zobrazit 1-3 svody nebo všechny svody,</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lastRenderedPageBreak/>
              <w:t>Srdeční frekvence,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Sledování respirační frekvence z EKG elektrod – možnost volby svodu,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Analýza ST segmentu ze všech monitorovaných svodů.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Sledování a analýza arytmií,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Detekce pacemakeru,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1"/>
                <w:numId w:val="25"/>
              </w:numPr>
              <w:jc w:val="both"/>
            </w:pPr>
            <w:r w:rsidRPr="003D1192">
              <w:t>SpO2:</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 xml:space="preserve">Měření pomocí technologie </w:t>
            </w:r>
            <w:proofErr w:type="spellStart"/>
            <w:r w:rsidRPr="003D1192">
              <w:t>Masimo</w:t>
            </w:r>
            <w:proofErr w:type="spellEnd"/>
            <w:r w:rsidRPr="003D1192">
              <w:t xml:space="preserve"> nebo </w:t>
            </w:r>
            <w:proofErr w:type="spellStart"/>
            <w:r w:rsidRPr="003D1192">
              <w:t>Nellcor</w:t>
            </w:r>
            <w:proofErr w:type="spellEnd"/>
            <w:r w:rsidRPr="003D1192">
              <w:t>,</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Pulsní frekvence,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Možnost měření duálního SpO2,</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1"/>
                <w:numId w:val="25"/>
              </w:numPr>
              <w:jc w:val="both"/>
            </w:pPr>
            <w:r w:rsidRPr="003D1192">
              <w:t>NIBP:</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Manuální spuštění/vypnutí, automatický režim s nastavitelným intervalem;</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1"/>
                <w:numId w:val="25"/>
              </w:numPr>
              <w:jc w:val="both"/>
            </w:pPr>
            <w:r w:rsidRPr="003D1192">
              <w:t>Teplota:</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Měření 2x teploty, označení teploty (o jakou teplotu se jedná), možnost rozšíření na měření až 4x teploty;</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1"/>
                <w:numId w:val="25"/>
              </w:numPr>
              <w:jc w:val="both"/>
            </w:pPr>
            <w:r w:rsidRPr="003D1192">
              <w:lastRenderedPageBreak/>
              <w:t>IBP:</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2x IBP přímo v monitoru;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Možnost rozšíření o moduly pro sledování dalších IBP, pomocí 2 modulů možnost celkem až 8x IBP, případně srdečního výdeje;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Možnost označování měřených tlaků (o jaký tlak se jedná);</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 xml:space="preserve">ECMO režim – dedikovaný režim pro přechod pacienta na ECMO (automatické </w:t>
            </w:r>
            <w:proofErr w:type="spellStart"/>
            <w:r w:rsidRPr="003D1192">
              <w:t>překonfigurování</w:t>
            </w:r>
            <w:proofErr w:type="spellEnd"/>
            <w:r w:rsidRPr="003D1192">
              <w:t xml:space="preserve"> zobrazení arteriálního tlaku (přechod z dynamického tlaku na statický tlak) a správa alarmů při zachování označení tlaků);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Nástroj pro výpočet PPV nebo SPV;</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1"/>
                <w:numId w:val="25"/>
              </w:numPr>
              <w:jc w:val="both"/>
            </w:pPr>
            <w:r w:rsidRPr="003D1192">
              <w:t>etCO2:</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2"/>
                <w:numId w:val="25"/>
              </w:numPr>
              <w:jc w:val="both"/>
            </w:pPr>
            <w:r w:rsidRPr="003D1192">
              <w:t xml:space="preserve">Možnost instalace modulu etCO2 technologie </w:t>
            </w:r>
            <w:r w:rsidRPr="003D1192">
              <w:lastRenderedPageBreak/>
              <w:t xml:space="preserve">Mainstream nebo </w:t>
            </w:r>
            <w:proofErr w:type="spellStart"/>
            <w:r w:rsidRPr="003D1192">
              <w:t>Microstream</w:t>
            </w:r>
            <w:proofErr w:type="spellEnd"/>
            <w:r w:rsidRPr="003D1192">
              <w:t>.</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lastRenderedPageBreak/>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Možnost připojení externích monitorovacích zařízení (BIS, NMT atd.).</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Přenos modulů mezi monitory bez nutnosti změny příslušenství.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3 úrovně alarmů, zvukově a barevně odlišené, snadné nebo automatické nastavení.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Eliminace falešných alarmů.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Světelný alarm také na horní hraně monitoru – úhel viditelnosti 360°.</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Automatické nebo manuální nastavení alarmových hranic a jejich zobrazení.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 xml:space="preserve">Alarmové </w:t>
            </w:r>
            <w:proofErr w:type="gramStart"/>
            <w:r w:rsidRPr="003D1192">
              <w:t>skupiny - alarmy</w:t>
            </w:r>
            <w:proofErr w:type="gramEnd"/>
            <w:r w:rsidRPr="003D1192">
              <w:t>, které se vyskytnou na jakémkoliv z monitorů ve skupině, jsou vyslány na všechny ostatní monitory ve skupině.</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Možnost nastavení alarmových mezí pomocí centrálního monitoringu.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 xml:space="preserve">Grafické a tabulární trendy min. 96 hodin, včetně zobrazení parametrů, křivek i </w:t>
            </w:r>
            <w:proofErr w:type="spellStart"/>
            <w:r w:rsidRPr="003D1192">
              <w:t>minitrendů</w:t>
            </w:r>
            <w:proofErr w:type="spellEnd"/>
            <w:r w:rsidRPr="003D1192">
              <w:t xml:space="preserve"> s rozlišením až 1 min. současně na obrazovce monitoru.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Automatický záznam událostí včetně křivek (min. 150 událostí) s možností zpětného vyvolání, archivace, tisku.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Možnost rozšíření o fyziologické kalkulace.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Lékové kalkulace (min. 40 druhů léků).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Uživatelsky konfigurovatelná obrazovka, současné zobrazení křivek i trendů na obrazovce.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lastRenderedPageBreak/>
              <w:t>Možnost uložení až 4 nastavení monitoru.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Volba barvy pro zobrazení jednotlivých parametrů.</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Vizualizace chybových hlášení na obrazovce.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Režim soukromí (privátní mód), zachování monitoringu přes centrální monitorovací systém.</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Konfigurovatelná tlačítka (vč. transportního modulu) pro rychlý přístup k funkci.</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Odolnost vstupních periférií proti defibrilačnímu výboji.</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Možnost fixace monitoru různého typu, také na lůžko při transportu, nebo zavěšení.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Možnost okamžitého použití pro transport bez odpojování monitoru ze sítě a od pacienta.</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Použití standardní sítě Ethernet.</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Výstup RS 232 - možnost přenosu dat z monitoru.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Síťové funkce (myšleno propojení do centrálního monitoringu, sdílení údajů apod.).</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Možnost připojení sekundárního displeje s možností nastavení zrcadlení hlavního monitoru nebo jako nezávislý displej.</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 xml:space="preserve">Nezávislý displej musí umožnovat nakonfigurovat sekundární displej zcela odlišně od primárního displeje (podpora numerických parametrů, křivek, </w:t>
            </w:r>
            <w:proofErr w:type="spellStart"/>
            <w:r w:rsidRPr="003D1192">
              <w:t>minitrendů</w:t>
            </w:r>
            <w:proofErr w:type="spellEnd"/>
            <w:r w:rsidRPr="003D1192">
              <w:t xml:space="preserve">, časovače. Možnost nezávislé konfigurace počtu křivek, uspořádání křivek, počtu numerických parametrů, barvy parametrů, až 5 </w:t>
            </w:r>
            <w:r w:rsidRPr="003D1192">
              <w:lastRenderedPageBreak/>
              <w:t>konfigurovatelných profilů zobrazení.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lastRenderedPageBreak/>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Možnost propojení s nemocniční sítí standardními komunikačními protokoly, jako je TCP/IP a HL7.</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 xml:space="preserve">Funkce dálkového </w:t>
            </w:r>
            <w:proofErr w:type="gramStart"/>
            <w:r w:rsidRPr="003D1192">
              <w:t>náhledu - umožňuje</w:t>
            </w:r>
            <w:proofErr w:type="gramEnd"/>
            <w:r w:rsidRPr="003D1192">
              <w:t xml:space="preserve"> uživateli zobrazení pacientských dat z jiných monitoru v rámci stejné monitorovací jednotky.</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Přístup k webovým aplikacím bez překrytí křivek a hodnot vitálních funkcí.</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Podpora prohlížení obrázků pomocí PACS.</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Monitor je možné funkčně propojit s centrálou a tiskárnou bez dalšího rozšíření softwaru.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Základní příslušenství a spotřební materiál potřebný k prvnímu uvedení do provozu.</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Možnost připojení s ventilační technikou na oddělení, vč. zobrazení ventilačních dat na obrazovce monitoru a přenos na centrální monitor.</w:t>
            </w:r>
            <w:r w:rsidRPr="003D1192">
              <w:tab/>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w:t>
            </w:r>
            <w:bookmarkStart w:id="0" w:name="_GoBack"/>
            <w:bookmarkEnd w:id="0"/>
            <w:r w:rsidRPr="00EE70B8">
              <w:rPr>
                <w:rFonts w:cs="Arial"/>
                <w:color w:val="FF0000"/>
                <w:szCs w:val="20"/>
              </w:rPr>
              <w:t>vatel)</w:t>
            </w:r>
          </w:p>
        </w:tc>
      </w:tr>
      <w:tr w:rsidR="006D6D0C" w:rsidRPr="00EE70B8" w:rsidTr="001A3E26">
        <w:tc>
          <w:tcPr>
            <w:tcW w:w="3969" w:type="dxa"/>
          </w:tcPr>
          <w:p w:rsidR="006D6D0C" w:rsidRPr="003D1192" w:rsidRDefault="006D6D0C" w:rsidP="006D6D0C">
            <w:pPr>
              <w:pStyle w:val="Bezmezer"/>
              <w:numPr>
                <w:ilvl w:val="0"/>
                <w:numId w:val="25"/>
              </w:numPr>
              <w:jc w:val="both"/>
            </w:pPr>
            <w:r w:rsidRPr="003D1192">
              <w:t>Napájení ze sítě 230 V/50 H.</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r w:rsidR="006D6D0C" w:rsidRPr="00EE70B8" w:rsidTr="001A3E26">
        <w:tc>
          <w:tcPr>
            <w:tcW w:w="3969" w:type="dxa"/>
          </w:tcPr>
          <w:p w:rsidR="006D6D0C" w:rsidRPr="0032393E" w:rsidRDefault="006D6D0C" w:rsidP="006D6D0C">
            <w:pPr>
              <w:pStyle w:val="Bezmezer"/>
              <w:numPr>
                <w:ilvl w:val="0"/>
                <w:numId w:val="25"/>
              </w:numPr>
              <w:jc w:val="both"/>
            </w:pPr>
            <w:r w:rsidRPr="003D1192">
              <w:t>SW v českém jazyce.</w:t>
            </w:r>
          </w:p>
        </w:tc>
        <w:tc>
          <w:tcPr>
            <w:tcW w:w="1701"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c>
          <w:tcPr>
            <w:tcW w:w="3969" w:type="dxa"/>
            <w:vAlign w:val="center"/>
          </w:tcPr>
          <w:p w:rsidR="006D6D0C" w:rsidRPr="00EE70B8" w:rsidRDefault="006D6D0C" w:rsidP="004D4608">
            <w:pPr>
              <w:jc w:val="center"/>
              <w:rPr>
                <w:rFonts w:cs="Arial"/>
                <w:szCs w:val="20"/>
              </w:rPr>
            </w:pPr>
            <w:r w:rsidRPr="00EE70B8">
              <w:rPr>
                <w:rFonts w:cs="Arial"/>
                <w:color w:val="FF0000"/>
                <w:szCs w:val="20"/>
              </w:rPr>
              <w:t>(doplní dodavatel)</w:t>
            </w:r>
          </w:p>
        </w:tc>
      </w:tr>
    </w:tbl>
    <w:p w:rsidR="00117BC7" w:rsidRDefault="00117BC7" w:rsidP="00225624">
      <w:pPr>
        <w:rPr>
          <w:lang w:eastAsia="en-US"/>
        </w:rPr>
      </w:pPr>
    </w:p>
    <w:p w:rsidR="00117BC7" w:rsidRDefault="00117BC7" w:rsidP="00225624">
      <w:pPr>
        <w:rPr>
          <w:lang w:eastAsia="en-US"/>
        </w:rPr>
      </w:pPr>
    </w:p>
    <w:p w:rsidR="002C5B15" w:rsidRPr="008B377E" w:rsidRDefault="002C5B15" w:rsidP="002C5B15">
      <w:pPr>
        <w:pStyle w:val="Zkladntext2"/>
        <w:tabs>
          <w:tab w:val="clear" w:pos="284"/>
        </w:tabs>
        <w:rPr>
          <w:rFonts w:ascii="Arial" w:hAnsi="Arial"/>
          <w:szCs w:val="24"/>
          <w:lang w:eastAsia="en-US"/>
        </w:rPr>
      </w:pPr>
      <w:r w:rsidRPr="008B377E">
        <w:rPr>
          <w:rFonts w:ascii="Arial" w:hAnsi="Arial"/>
          <w:szCs w:val="24"/>
          <w:lang w:eastAsia="en-US"/>
        </w:rPr>
        <w:t xml:space="preserve">TOLERANCE NA ČÍSELNÉ PARAMETRY, KTERÉ NEJSOU OZNAČENY JAKO MINIMÁLNÍ ČI MAXIMÁLNÍ </w:t>
      </w:r>
      <w:r>
        <w:rPr>
          <w:rFonts w:ascii="Arial" w:hAnsi="Arial"/>
          <w:szCs w:val="24"/>
          <w:lang w:eastAsia="en-US"/>
        </w:rPr>
        <w:t xml:space="preserve">JE </w:t>
      </w:r>
      <w:r w:rsidRPr="008B377E">
        <w:rPr>
          <w:rFonts w:ascii="Arial" w:hAnsi="Arial"/>
          <w:szCs w:val="24"/>
          <w:lang w:eastAsia="en-US"/>
        </w:rPr>
        <w:t xml:space="preserve">+/- </w:t>
      </w:r>
      <w:proofErr w:type="gramStart"/>
      <w:r w:rsidRPr="008B377E">
        <w:rPr>
          <w:rFonts w:ascii="Arial" w:hAnsi="Arial"/>
          <w:szCs w:val="24"/>
          <w:lang w:eastAsia="en-US"/>
        </w:rPr>
        <w:t>10%</w:t>
      </w:r>
      <w:proofErr w:type="gramEnd"/>
      <w:r>
        <w:rPr>
          <w:rFonts w:ascii="Arial" w:hAnsi="Arial"/>
          <w:szCs w:val="24"/>
          <w:lang w:eastAsia="en-US"/>
        </w:rPr>
        <w:t>.</w:t>
      </w:r>
      <w:r w:rsidRPr="008B377E">
        <w:rPr>
          <w:rFonts w:ascii="Arial" w:hAnsi="Arial"/>
          <w:szCs w:val="24"/>
          <w:lang w:eastAsia="en-US"/>
        </w:rPr>
        <w:t xml:space="preserve">   </w:t>
      </w:r>
    </w:p>
    <w:p w:rsidR="002C5B15" w:rsidRDefault="002C5B15" w:rsidP="002C5B15">
      <w:pPr>
        <w:rPr>
          <w:lang w:eastAsia="en-US"/>
        </w:rPr>
      </w:pPr>
    </w:p>
    <w:p w:rsidR="002C5B15" w:rsidRDefault="002C5B15" w:rsidP="002C5B15">
      <w:pPr>
        <w:rPr>
          <w:lang w:eastAsia="en-US"/>
        </w:rPr>
      </w:pPr>
    </w:p>
    <w:p w:rsidR="002C5B15" w:rsidRDefault="002C5B15" w:rsidP="002C5B15">
      <w:pPr>
        <w:rPr>
          <w:lang w:eastAsia="en-US"/>
        </w:rPr>
      </w:pPr>
    </w:p>
    <w:p w:rsidR="002C5B15" w:rsidRDefault="002C5B15" w:rsidP="002C5B15">
      <w:pPr>
        <w:pStyle w:val="Nadpis5"/>
        <w:rPr>
          <w:bCs/>
          <w:lang w:eastAsia="en-US"/>
        </w:rPr>
      </w:pPr>
      <w:bookmarkStart w:id="1" w:name="_Hlk46760721"/>
      <w:r>
        <w:rPr>
          <w:bCs/>
          <w:lang w:eastAsia="en-US"/>
        </w:rPr>
        <w:t xml:space="preserve">B) Požadavky, které budou součástí dodávky předmětu plnění </w:t>
      </w:r>
    </w:p>
    <w:p w:rsidR="002C5B15" w:rsidRDefault="002C5B15" w:rsidP="002C5B15">
      <w:pPr>
        <w:rPr>
          <w:lang w:eastAsia="en-US"/>
        </w:rPr>
      </w:pPr>
    </w:p>
    <w:p w:rsidR="00117BC7" w:rsidRDefault="002C5B15" w:rsidP="002C5B15">
      <w:pPr>
        <w:rPr>
          <w:lang w:eastAsia="en-US"/>
        </w:rPr>
      </w:pPr>
      <w:r>
        <w:rPr>
          <w:lang w:eastAsia="en-US"/>
        </w:rPr>
        <w:t>DODAVATEL MÁ POVINNOST VYPLNIT SPLNĚNÍ POŽADAVKU V TABULCE ANO/NE. SPNĚNÍ UVEDENÝCH POŽADAVKŮ POŽADUJE ZADAVATEL V RÁMCI DODÁVKY PŘEDMĚTU PLNĚNÍ.</w:t>
      </w:r>
      <w:bookmarkEnd w:id="1"/>
    </w:p>
    <w:p w:rsidR="002C5B15" w:rsidRPr="00225624" w:rsidRDefault="002C5B15" w:rsidP="002C5B15">
      <w:pPr>
        <w:rPr>
          <w:lang w:eastAsia="en-US"/>
        </w:rPr>
      </w:pPr>
    </w:p>
    <w:tbl>
      <w:tblPr>
        <w:tblStyle w:val="Mkatabulky"/>
        <w:tblW w:w="9639" w:type="dxa"/>
        <w:jc w:val="center"/>
        <w:tblLayout w:type="fixed"/>
        <w:tblLook w:val="04A0" w:firstRow="1" w:lastRow="0" w:firstColumn="1" w:lastColumn="0" w:noHBand="0" w:noVBand="1"/>
      </w:tblPr>
      <w:tblGrid>
        <w:gridCol w:w="7225"/>
        <w:gridCol w:w="2414"/>
      </w:tblGrid>
      <w:tr w:rsidR="002C5B15" w:rsidRPr="002476E6" w:rsidTr="002C5B15">
        <w:trPr>
          <w:tblHeader/>
          <w:jc w:val="center"/>
        </w:trPr>
        <w:tc>
          <w:tcPr>
            <w:tcW w:w="7225" w:type="dxa"/>
            <w:shd w:val="clear" w:color="auto" w:fill="F7CAAC" w:themeFill="accent2" w:themeFillTint="66"/>
            <w:vAlign w:val="center"/>
          </w:tcPr>
          <w:p w:rsidR="002C5B15" w:rsidRPr="002C5B15" w:rsidRDefault="002C5B15" w:rsidP="002C5B15">
            <w:pPr>
              <w:jc w:val="center"/>
              <w:rPr>
                <w:rFonts w:ascii="Calibri" w:hAnsi="Calibri" w:cs="Calibri"/>
                <w:b/>
                <w:bCs/>
                <w:sz w:val="22"/>
                <w:szCs w:val="22"/>
              </w:rPr>
            </w:pPr>
            <w:r w:rsidRPr="002C5B15">
              <w:rPr>
                <w:rFonts w:ascii="Calibri" w:hAnsi="Calibri" w:cs="Calibri"/>
                <w:b/>
                <w:bCs/>
                <w:sz w:val="22"/>
                <w:szCs w:val="22"/>
              </w:rPr>
              <w:lastRenderedPageBreak/>
              <w:t>Požadavky, které budou součástí dodávky předmětu plnění</w:t>
            </w:r>
          </w:p>
        </w:tc>
        <w:tc>
          <w:tcPr>
            <w:tcW w:w="2414" w:type="dxa"/>
            <w:shd w:val="clear" w:color="auto" w:fill="F7CAAC" w:themeFill="accent2" w:themeFillTint="66"/>
            <w:vAlign w:val="center"/>
          </w:tcPr>
          <w:p w:rsidR="002C5B15" w:rsidRPr="002C5B15" w:rsidRDefault="002C5B15" w:rsidP="002C5B15">
            <w:pPr>
              <w:jc w:val="center"/>
              <w:rPr>
                <w:rFonts w:ascii="Calibri" w:hAnsi="Calibri" w:cs="Calibri"/>
                <w:b/>
                <w:bCs/>
                <w:sz w:val="22"/>
                <w:szCs w:val="22"/>
              </w:rPr>
            </w:pPr>
            <w:r w:rsidRPr="002C5B15">
              <w:rPr>
                <w:rFonts w:ascii="Calibri" w:hAnsi="Calibri" w:cs="Calibri"/>
                <w:b/>
                <w:bCs/>
                <w:sz w:val="22"/>
                <w:szCs w:val="22"/>
              </w:rPr>
              <w:t>Splnění požadavku ANO/NE</w:t>
            </w:r>
          </w:p>
        </w:tc>
      </w:tr>
      <w:tr w:rsidR="00A03F91" w:rsidRPr="002476E6" w:rsidTr="002C5B15">
        <w:trPr>
          <w:jc w:val="center"/>
        </w:trPr>
        <w:tc>
          <w:tcPr>
            <w:tcW w:w="7225" w:type="dxa"/>
            <w:vAlign w:val="center"/>
          </w:tcPr>
          <w:p w:rsidR="00A03F91" w:rsidRPr="002476E6" w:rsidRDefault="00A03F91" w:rsidP="0022562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vAlign w:val="center"/>
          </w:tcPr>
          <w:p w:rsidR="00A03F91" w:rsidRPr="002476E6" w:rsidRDefault="00A03F91"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2C5B15">
        <w:trPr>
          <w:jc w:val="center"/>
        </w:trPr>
        <w:tc>
          <w:tcPr>
            <w:tcW w:w="7225"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414"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2C5B15">
        <w:trPr>
          <w:jc w:val="center"/>
        </w:trPr>
        <w:tc>
          <w:tcPr>
            <w:tcW w:w="7225"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414"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2C5B15">
        <w:trPr>
          <w:jc w:val="center"/>
        </w:trPr>
        <w:tc>
          <w:tcPr>
            <w:tcW w:w="7225"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414"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2C5B15">
        <w:trPr>
          <w:jc w:val="center"/>
        </w:trPr>
        <w:tc>
          <w:tcPr>
            <w:tcW w:w="7225"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414"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2C5B15">
        <w:trPr>
          <w:trHeight w:val="677"/>
          <w:jc w:val="center"/>
        </w:trPr>
        <w:tc>
          <w:tcPr>
            <w:tcW w:w="7225"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414"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0E0" w:rsidRDefault="007670E0">
      <w:r>
        <w:separator/>
      </w:r>
    </w:p>
  </w:endnote>
  <w:endnote w:type="continuationSeparator" w:id="0">
    <w:p w:rsidR="007670E0" w:rsidRDefault="00767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w:t>
        </w:r>
        <w:r w:rsidR="00D9015C">
          <w:rPr>
            <w:rFonts w:ascii="Calibri" w:hAnsi="Calibri" w:cs="Calibri"/>
            <w:szCs w:val="20"/>
          </w:rPr>
          <w:t xml:space="preserve">různých </w:t>
        </w:r>
        <w:r w:rsidRPr="0019452C">
          <w:rPr>
            <w:rFonts w:ascii="Calibri" w:hAnsi="Calibri" w:cs="Calibri"/>
            <w:szCs w:val="20"/>
          </w:rPr>
          <w:t>přístrojů a vybavení</w:t>
        </w:r>
        <w:r w:rsidRPr="00CA2983">
          <w:rPr>
            <w:rFonts w:ascii="Calibri" w:hAnsi="Calibri" w:cs="Calibri"/>
            <w:szCs w:val="20"/>
          </w:rPr>
          <w:t xml:space="preserve">“, </w:t>
        </w:r>
      </w:p>
      <w:p w:rsidR="00225624" w:rsidRPr="00CA2983" w:rsidRDefault="00225624"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D9015C">
          <w:rPr>
            <w:rFonts w:ascii="Calibri" w:hAnsi="Calibri" w:cs="Calibri"/>
            <w:szCs w:val="20"/>
          </w:rPr>
          <w:t>51</w:t>
        </w:r>
        <w:r w:rsidRPr="00CA2983">
          <w:rPr>
            <w:rFonts w:ascii="Calibri" w:hAnsi="Calibri" w:cs="Calibri"/>
            <w:szCs w:val="20"/>
          </w:rPr>
          <w:t xml:space="preserve">                                                                            </w:t>
        </w:r>
      </w:p>
      <w:p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2"/>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0E0" w:rsidRDefault="007670E0">
      <w:r>
        <w:separator/>
      </w:r>
    </w:p>
  </w:footnote>
  <w:footnote w:type="continuationSeparator" w:id="0">
    <w:p w:rsidR="007670E0" w:rsidRDefault="00767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624" w:rsidRDefault="00225624"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E0862A1"/>
    <w:multiLevelType w:val="hybridMultilevel"/>
    <w:tmpl w:val="DB46A0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187545"/>
    <w:multiLevelType w:val="hybridMultilevel"/>
    <w:tmpl w:val="C04A8164"/>
    <w:lvl w:ilvl="0" w:tplc="231E907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5D21EF"/>
    <w:multiLevelType w:val="hybridMultilevel"/>
    <w:tmpl w:val="0C4E59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8"/>
  </w:num>
  <w:num w:numId="3">
    <w:abstractNumId w:val="23"/>
  </w:num>
  <w:num w:numId="4">
    <w:abstractNumId w:val="11"/>
  </w:num>
  <w:num w:numId="5">
    <w:abstractNumId w:val="8"/>
  </w:num>
  <w:num w:numId="6">
    <w:abstractNumId w:val="12"/>
  </w:num>
  <w:num w:numId="7">
    <w:abstractNumId w:val="12"/>
  </w:num>
  <w:num w:numId="8">
    <w:abstractNumId w:val="22"/>
  </w:num>
  <w:num w:numId="9">
    <w:abstractNumId w:val="2"/>
  </w:num>
  <w:num w:numId="10">
    <w:abstractNumId w:val="16"/>
  </w:num>
  <w:num w:numId="11">
    <w:abstractNumId w:val="15"/>
  </w:num>
  <w:num w:numId="12">
    <w:abstractNumId w:val="21"/>
  </w:num>
  <w:num w:numId="13">
    <w:abstractNumId w:val="9"/>
  </w:num>
  <w:num w:numId="14">
    <w:abstractNumId w:val="17"/>
  </w:num>
  <w:num w:numId="15">
    <w:abstractNumId w:val="19"/>
  </w:num>
  <w:num w:numId="16">
    <w:abstractNumId w:val="13"/>
  </w:num>
  <w:num w:numId="17">
    <w:abstractNumId w:val="14"/>
  </w:num>
  <w:num w:numId="18">
    <w:abstractNumId w:val="10"/>
  </w:num>
  <w:num w:numId="19">
    <w:abstractNumId w:val="6"/>
  </w:num>
  <w:num w:numId="20">
    <w:abstractNumId w:val="20"/>
  </w:num>
  <w:num w:numId="21">
    <w:abstractNumId w:val="3"/>
  </w:num>
  <w:num w:numId="22">
    <w:abstractNumId w:val="0"/>
  </w:num>
  <w:num w:numId="23">
    <w:abstractNumId w:val="5"/>
  </w:num>
  <w:num w:numId="24">
    <w:abstractNumId w:val="7"/>
  </w:num>
  <w:num w:numId="2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111FF7"/>
    <w:rsid w:val="00117BC7"/>
    <w:rsid w:val="001258AB"/>
    <w:rsid w:val="00125E54"/>
    <w:rsid w:val="00136081"/>
    <w:rsid w:val="001770B9"/>
    <w:rsid w:val="00191ADF"/>
    <w:rsid w:val="0019452C"/>
    <w:rsid w:val="00197A5B"/>
    <w:rsid w:val="001A3E26"/>
    <w:rsid w:val="001D1372"/>
    <w:rsid w:val="001E427D"/>
    <w:rsid w:val="001F2952"/>
    <w:rsid w:val="00205EE2"/>
    <w:rsid w:val="00214C1D"/>
    <w:rsid w:val="00225624"/>
    <w:rsid w:val="00234AA4"/>
    <w:rsid w:val="002476E6"/>
    <w:rsid w:val="002504BC"/>
    <w:rsid w:val="00280A80"/>
    <w:rsid w:val="002B39F1"/>
    <w:rsid w:val="002C543B"/>
    <w:rsid w:val="002C5A20"/>
    <w:rsid w:val="002C5B15"/>
    <w:rsid w:val="002D0847"/>
    <w:rsid w:val="002D4509"/>
    <w:rsid w:val="00303205"/>
    <w:rsid w:val="00341832"/>
    <w:rsid w:val="003842BB"/>
    <w:rsid w:val="003846F9"/>
    <w:rsid w:val="00393D4B"/>
    <w:rsid w:val="00393D63"/>
    <w:rsid w:val="003B40D7"/>
    <w:rsid w:val="003B4A14"/>
    <w:rsid w:val="003D1E77"/>
    <w:rsid w:val="003D5973"/>
    <w:rsid w:val="003D5FC2"/>
    <w:rsid w:val="003E2F8A"/>
    <w:rsid w:val="003E5E6D"/>
    <w:rsid w:val="004001AC"/>
    <w:rsid w:val="004006C4"/>
    <w:rsid w:val="00411483"/>
    <w:rsid w:val="00426B74"/>
    <w:rsid w:val="004521F2"/>
    <w:rsid w:val="004537FC"/>
    <w:rsid w:val="0045612A"/>
    <w:rsid w:val="00464365"/>
    <w:rsid w:val="00470C30"/>
    <w:rsid w:val="0047221C"/>
    <w:rsid w:val="00472A28"/>
    <w:rsid w:val="00480935"/>
    <w:rsid w:val="004838A7"/>
    <w:rsid w:val="00487465"/>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D6D0C"/>
    <w:rsid w:val="006F12A7"/>
    <w:rsid w:val="006F6461"/>
    <w:rsid w:val="00703424"/>
    <w:rsid w:val="0071402B"/>
    <w:rsid w:val="0071532A"/>
    <w:rsid w:val="00716461"/>
    <w:rsid w:val="007230A6"/>
    <w:rsid w:val="0073070F"/>
    <w:rsid w:val="00731162"/>
    <w:rsid w:val="007341AA"/>
    <w:rsid w:val="00734201"/>
    <w:rsid w:val="00734E96"/>
    <w:rsid w:val="00743AC9"/>
    <w:rsid w:val="00756D6D"/>
    <w:rsid w:val="007670E0"/>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1B29"/>
    <w:rsid w:val="00867642"/>
    <w:rsid w:val="00885D17"/>
    <w:rsid w:val="00890047"/>
    <w:rsid w:val="008B1CD4"/>
    <w:rsid w:val="008D7A6F"/>
    <w:rsid w:val="008E1D92"/>
    <w:rsid w:val="009028D4"/>
    <w:rsid w:val="0090486E"/>
    <w:rsid w:val="00905E90"/>
    <w:rsid w:val="00907E39"/>
    <w:rsid w:val="009477AF"/>
    <w:rsid w:val="00965992"/>
    <w:rsid w:val="009673F6"/>
    <w:rsid w:val="00985725"/>
    <w:rsid w:val="0098671F"/>
    <w:rsid w:val="0099223B"/>
    <w:rsid w:val="009A239C"/>
    <w:rsid w:val="009A2616"/>
    <w:rsid w:val="009B4E45"/>
    <w:rsid w:val="009C0B4C"/>
    <w:rsid w:val="009E189C"/>
    <w:rsid w:val="00A03F91"/>
    <w:rsid w:val="00A04959"/>
    <w:rsid w:val="00A075F1"/>
    <w:rsid w:val="00A37710"/>
    <w:rsid w:val="00A537FA"/>
    <w:rsid w:val="00A72488"/>
    <w:rsid w:val="00A7653E"/>
    <w:rsid w:val="00A811DD"/>
    <w:rsid w:val="00A8362D"/>
    <w:rsid w:val="00A837CA"/>
    <w:rsid w:val="00A9026B"/>
    <w:rsid w:val="00AB14BC"/>
    <w:rsid w:val="00AC3F9C"/>
    <w:rsid w:val="00AD7C03"/>
    <w:rsid w:val="00AD7DB4"/>
    <w:rsid w:val="00B01362"/>
    <w:rsid w:val="00B04151"/>
    <w:rsid w:val="00B07A78"/>
    <w:rsid w:val="00B10101"/>
    <w:rsid w:val="00B3451E"/>
    <w:rsid w:val="00B360D1"/>
    <w:rsid w:val="00B429BE"/>
    <w:rsid w:val="00B471A0"/>
    <w:rsid w:val="00B53DAE"/>
    <w:rsid w:val="00BB2159"/>
    <w:rsid w:val="00BD382F"/>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A6FE4"/>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62E8D"/>
    <w:rsid w:val="00D70BF0"/>
    <w:rsid w:val="00D72049"/>
    <w:rsid w:val="00D876D7"/>
    <w:rsid w:val="00D9015C"/>
    <w:rsid w:val="00D963DD"/>
    <w:rsid w:val="00DA57E0"/>
    <w:rsid w:val="00DC7A84"/>
    <w:rsid w:val="00DF2478"/>
    <w:rsid w:val="00E14675"/>
    <w:rsid w:val="00E23E58"/>
    <w:rsid w:val="00E25961"/>
    <w:rsid w:val="00E25E2C"/>
    <w:rsid w:val="00E3244D"/>
    <w:rsid w:val="00E327B4"/>
    <w:rsid w:val="00E54A3E"/>
    <w:rsid w:val="00E640CE"/>
    <w:rsid w:val="00E70BD0"/>
    <w:rsid w:val="00E73FAD"/>
    <w:rsid w:val="00EB28FB"/>
    <w:rsid w:val="00EB3567"/>
    <w:rsid w:val="00ED1886"/>
    <w:rsid w:val="00EE1E0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B0179"/>
    <w:rsid w:val="00FB4728"/>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3B12A-1D41-4EEA-BFDF-484569648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10</Pages>
  <Words>1967</Words>
  <Characters>11610</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Vojtěch Štrof</cp:lastModifiedBy>
  <cp:revision>74</cp:revision>
  <dcterms:created xsi:type="dcterms:W3CDTF">2019-04-09T06:42:00Z</dcterms:created>
  <dcterms:modified xsi:type="dcterms:W3CDTF">2020-08-03T08:05:00Z</dcterms:modified>
</cp:coreProperties>
</file>